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2307" w14:textId="77777777" w:rsidR="00940B9E" w:rsidRDefault="00000000">
      <w:pPr>
        <w:shd w:val="clear" w:color="auto" w:fill="FFFFFF"/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INFORMATION DES PARTICIPANTS</w:t>
      </w:r>
    </w:p>
    <w:p w14:paraId="742EAA0B" w14:textId="77777777" w:rsidR="00940B9E" w:rsidRDefault="00940B9E">
      <w:pPr>
        <w:shd w:val="clear" w:color="auto" w:fill="FFFFFF"/>
        <w:spacing w:after="0" w:line="276" w:lineRule="auto"/>
        <w:jc w:val="center"/>
        <w:rPr>
          <w:b/>
          <w:sz w:val="24"/>
          <w:szCs w:val="24"/>
        </w:rPr>
      </w:pPr>
    </w:p>
    <w:p w14:paraId="3D3E546B" w14:textId="77777777" w:rsidR="00940B9E" w:rsidRDefault="00000000">
      <w:pPr>
        <w:shd w:val="clear" w:color="auto" w:fill="FFFFFF"/>
        <w:spacing w:after="0"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*Principaux éléments devant figurer dans la note ou le mail d’information</w:t>
      </w:r>
    </w:p>
    <w:p w14:paraId="0334B0A8" w14:textId="77777777" w:rsidR="00940B9E" w:rsidRDefault="00940B9E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1769D0F6" w14:textId="77777777" w:rsidR="00940B9E" w:rsidRDefault="00000000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1- </w:t>
      </w:r>
      <w:r>
        <w:rPr>
          <w:b/>
          <w:color w:val="222222"/>
          <w:sz w:val="24"/>
          <w:szCs w:val="24"/>
        </w:rPr>
        <w:t>informations relatives au contexte de l’enquête</w:t>
      </w:r>
      <w:r>
        <w:rPr>
          <w:color w:val="222222"/>
          <w:sz w:val="24"/>
          <w:szCs w:val="24"/>
        </w:rPr>
        <w:t> : titre de l'enquête, nom du porteur de projet ou du chercheur, nom du superviseur (si doctorant.e), nom de l'institution et/ou du centre de recherche, nom du bailleur de fonds (si financement externe)</w:t>
      </w:r>
    </w:p>
    <w:p w14:paraId="51821C20" w14:textId="77777777" w:rsidR="00940B9E" w:rsidRDefault="00940B9E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</w:p>
    <w:p w14:paraId="077DCF4B" w14:textId="77777777" w:rsidR="00940B9E" w:rsidRDefault="00000000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2- </w:t>
      </w:r>
      <w:r>
        <w:rPr>
          <w:b/>
          <w:color w:val="222222"/>
          <w:sz w:val="24"/>
          <w:szCs w:val="24"/>
        </w:rPr>
        <w:t>information relatives au contenu de l’enquête</w:t>
      </w:r>
      <w:r>
        <w:rPr>
          <w:color w:val="222222"/>
          <w:sz w:val="24"/>
          <w:szCs w:val="24"/>
        </w:rPr>
        <w:t> : résumé des principaux objectifs de l'enquête</w:t>
      </w:r>
    </w:p>
    <w:p w14:paraId="008637A8" w14:textId="77777777" w:rsidR="00940B9E" w:rsidRDefault="00940B9E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</w:p>
    <w:p w14:paraId="3811DF7B" w14:textId="77777777" w:rsidR="00940B9E" w:rsidRDefault="00000000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3- </w:t>
      </w:r>
      <w:r>
        <w:rPr>
          <w:b/>
          <w:color w:val="222222"/>
          <w:sz w:val="24"/>
          <w:szCs w:val="24"/>
        </w:rPr>
        <w:t>informations relatives à la participation</w:t>
      </w:r>
      <w:r>
        <w:rPr>
          <w:color w:val="222222"/>
          <w:sz w:val="24"/>
          <w:szCs w:val="24"/>
        </w:rPr>
        <w:t> : description du protocole d'enquête et de ce qui est attendu du participant (</w:t>
      </w:r>
      <w:r>
        <w:rPr>
          <w:i/>
          <w:color w:val="222222"/>
          <w:sz w:val="24"/>
          <w:szCs w:val="24"/>
        </w:rPr>
        <w:t>opérations d’enquête : entretien, expérimentation, questionnaire, etc. ; durée ; répétition ; rémunération ; suivi et restitution ; etc</w:t>
      </w:r>
      <w:r>
        <w:rPr>
          <w:color w:val="222222"/>
          <w:sz w:val="24"/>
          <w:szCs w:val="24"/>
        </w:rPr>
        <w:t>.)</w:t>
      </w:r>
    </w:p>
    <w:p w14:paraId="20B7350C" w14:textId="77777777" w:rsidR="00940B9E" w:rsidRDefault="00940B9E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</w:p>
    <w:p w14:paraId="2F7AD79D" w14:textId="77777777" w:rsidR="00940B9E" w:rsidRDefault="00000000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4- description des </w:t>
      </w:r>
      <w:r>
        <w:rPr>
          <w:b/>
          <w:color w:val="222222"/>
          <w:sz w:val="24"/>
          <w:szCs w:val="24"/>
        </w:rPr>
        <w:t>risques éventuels</w:t>
      </w:r>
      <w:r>
        <w:rPr>
          <w:color w:val="222222"/>
          <w:sz w:val="24"/>
          <w:szCs w:val="24"/>
        </w:rPr>
        <w:t xml:space="preserve"> encourus et des mesures mises en œuvre pour les limiter. </w:t>
      </w:r>
    </w:p>
    <w:p w14:paraId="16AE7C1A" w14:textId="77777777" w:rsidR="00940B9E" w:rsidRDefault="00000000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Description des </w:t>
      </w:r>
      <w:r>
        <w:rPr>
          <w:b/>
          <w:color w:val="222222"/>
          <w:sz w:val="24"/>
          <w:szCs w:val="24"/>
        </w:rPr>
        <w:t>bénéfices</w:t>
      </w:r>
      <w:r>
        <w:rPr>
          <w:color w:val="222222"/>
          <w:sz w:val="24"/>
          <w:szCs w:val="24"/>
        </w:rPr>
        <w:t xml:space="preserve"> éventuels (</w:t>
      </w:r>
      <w:r>
        <w:rPr>
          <w:i/>
          <w:color w:val="222222"/>
          <w:sz w:val="24"/>
          <w:szCs w:val="24"/>
        </w:rPr>
        <w:t>par ex. : contribuer à l’avancement de la science ; rémunération compensatoire ; etc.</w:t>
      </w:r>
      <w:r>
        <w:rPr>
          <w:color w:val="222222"/>
          <w:sz w:val="24"/>
          <w:szCs w:val="24"/>
        </w:rPr>
        <w:t>)</w:t>
      </w:r>
    </w:p>
    <w:p w14:paraId="3EDBB1A9" w14:textId="77777777" w:rsidR="00940B9E" w:rsidRDefault="00940B9E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</w:p>
    <w:p w14:paraId="0D3B6D6D" w14:textId="3E34AF4F" w:rsidR="00940B9E" w:rsidRDefault="00000000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5- mesures de</w:t>
      </w:r>
      <w:r w:rsidR="00692B56">
        <w:rPr>
          <w:color w:val="222222"/>
          <w:sz w:val="24"/>
          <w:szCs w:val="24"/>
        </w:rPr>
        <w:t xml:space="preserve"> </w:t>
      </w:r>
      <w:r w:rsidR="00692B56" w:rsidRPr="00692B56">
        <w:rPr>
          <w:b/>
          <w:bCs/>
          <w:color w:val="222222"/>
          <w:sz w:val="24"/>
          <w:szCs w:val="24"/>
        </w:rPr>
        <w:t>traitement</w:t>
      </w:r>
      <w:r w:rsidR="00692B56">
        <w:rPr>
          <w:color w:val="222222"/>
          <w:sz w:val="24"/>
          <w:szCs w:val="24"/>
        </w:rPr>
        <w:t xml:space="preserve"> et de</w:t>
      </w:r>
      <w:r>
        <w:rPr>
          <w:color w:val="222222"/>
          <w:sz w:val="24"/>
          <w:szCs w:val="24"/>
        </w:rPr>
        <w:t xml:space="preserve"> </w:t>
      </w:r>
      <w:r>
        <w:rPr>
          <w:b/>
          <w:color w:val="222222"/>
          <w:sz w:val="24"/>
          <w:szCs w:val="24"/>
        </w:rPr>
        <w:t>protection des données</w:t>
      </w:r>
      <w:r>
        <w:rPr>
          <w:color w:val="222222"/>
          <w:sz w:val="24"/>
          <w:szCs w:val="24"/>
        </w:rPr>
        <w:t xml:space="preserve"> (mesures relatives à la sécurité informatique : conservation, cryptage, etc. ; accès : équipe, partenaires, etc.</w:t>
      </w:r>
      <w:r w:rsidR="00692B56">
        <w:rPr>
          <w:color w:val="222222"/>
          <w:sz w:val="24"/>
          <w:szCs w:val="24"/>
        </w:rPr>
        <w:t xml:space="preserve"> + information si usage de l’IA pour transcription : solution choisie, risques</w:t>
      </w:r>
      <w:r w:rsidR="00847CCB">
        <w:rPr>
          <w:color w:val="222222"/>
          <w:sz w:val="24"/>
          <w:szCs w:val="24"/>
        </w:rPr>
        <w:t xml:space="preserve"> </w:t>
      </w:r>
      <w:r w:rsidR="0041212E">
        <w:rPr>
          <w:color w:val="222222"/>
          <w:sz w:val="24"/>
          <w:szCs w:val="24"/>
        </w:rPr>
        <w:t>et limitations</w:t>
      </w:r>
      <w:r>
        <w:rPr>
          <w:color w:val="222222"/>
          <w:sz w:val="24"/>
          <w:szCs w:val="24"/>
        </w:rPr>
        <w:t>) et mesures de confidentialité (</w:t>
      </w:r>
      <w:r>
        <w:rPr>
          <w:i/>
          <w:color w:val="222222"/>
          <w:sz w:val="24"/>
          <w:szCs w:val="24"/>
        </w:rPr>
        <w:t>ne pas confondre anonymisation et pseudonymisation / indiquer les éléments qui seront pseudonymisés: nom, lieu, âge, genre, position, etc.</w:t>
      </w:r>
      <w:r>
        <w:rPr>
          <w:color w:val="222222"/>
          <w:sz w:val="24"/>
          <w:szCs w:val="24"/>
        </w:rPr>
        <w:t>). Attention à ne pas promettre une confidentialité inconditionnelle.</w:t>
      </w:r>
    </w:p>
    <w:p w14:paraId="3BE19796" w14:textId="77777777" w:rsidR="00940B9E" w:rsidRDefault="00940B9E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</w:p>
    <w:p w14:paraId="588116AE" w14:textId="4DA7EC81" w:rsidR="00940B9E" w:rsidRDefault="00000000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6- sort des données et </w:t>
      </w:r>
      <w:r>
        <w:rPr>
          <w:b/>
          <w:color w:val="222222"/>
          <w:sz w:val="24"/>
          <w:szCs w:val="24"/>
        </w:rPr>
        <w:t xml:space="preserve">archivage </w:t>
      </w:r>
      <w:r>
        <w:rPr>
          <w:color w:val="222222"/>
          <w:sz w:val="24"/>
          <w:szCs w:val="24"/>
        </w:rPr>
        <w:t>(si pertinent) : durée conservation, lieu de dépôt, accès ; formes de conservation des données (</w:t>
      </w:r>
      <w:r>
        <w:rPr>
          <w:i/>
          <w:color w:val="222222"/>
          <w:sz w:val="24"/>
          <w:szCs w:val="24"/>
        </w:rPr>
        <w:t>anonymisation ou pseudonymisation</w:t>
      </w:r>
      <w:r>
        <w:rPr>
          <w:color w:val="222222"/>
          <w:sz w:val="24"/>
          <w:szCs w:val="24"/>
        </w:rPr>
        <w:t>)</w:t>
      </w:r>
    </w:p>
    <w:p w14:paraId="6B4FEC19" w14:textId="77777777" w:rsidR="00940B9E" w:rsidRDefault="00940B9E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</w:p>
    <w:p w14:paraId="74216195" w14:textId="77777777" w:rsidR="00940B9E" w:rsidRDefault="00000000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7- </w:t>
      </w:r>
      <w:r>
        <w:rPr>
          <w:b/>
          <w:color w:val="222222"/>
          <w:sz w:val="24"/>
          <w:szCs w:val="24"/>
        </w:rPr>
        <w:t>revisite/réutilisation des données</w:t>
      </w:r>
      <w:r>
        <w:rPr>
          <w:color w:val="222222"/>
          <w:sz w:val="24"/>
          <w:szCs w:val="24"/>
        </w:rPr>
        <w:t xml:space="preserve"> envisagée (si pertinent) : à quelle fin (</w:t>
      </w:r>
      <w:r>
        <w:rPr>
          <w:i/>
          <w:color w:val="222222"/>
          <w:sz w:val="24"/>
          <w:szCs w:val="24"/>
        </w:rPr>
        <w:t>uniquement scientifique</w:t>
      </w:r>
      <w:r>
        <w:rPr>
          <w:color w:val="222222"/>
          <w:sz w:val="24"/>
          <w:szCs w:val="24"/>
        </w:rPr>
        <w:t>) ; par qui ? ; sous quelle forme (</w:t>
      </w:r>
      <w:r>
        <w:rPr>
          <w:i/>
          <w:color w:val="222222"/>
          <w:sz w:val="24"/>
          <w:szCs w:val="24"/>
        </w:rPr>
        <w:t>anonymisée, pseudonymisée</w:t>
      </w:r>
      <w:r>
        <w:rPr>
          <w:color w:val="222222"/>
          <w:sz w:val="24"/>
          <w:szCs w:val="24"/>
        </w:rPr>
        <w:t>) ; avec recueil d’un nouveau consentement ?</w:t>
      </w:r>
    </w:p>
    <w:p w14:paraId="3FA97D8D" w14:textId="77777777" w:rsidR="00940B9E" w:rsidRDefault="00940B9E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</w:p>
    <w:p w14:paraId="64425DC4" w14:textId="77777777" w:rsidR="00940B9E" w:rsidRDefault="00000000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8- rappeler que la participation est </w:t>
      </w:r>
      <w:r>
        <w:rPr>
          <w:b/>
          <w:color w:val="222222"/>
          <w:sz w:val="24"/>
          <w:szCs w:val="24"/>
        </w:rPr>
        <w:t>volontaire </w:t>
      </w:r>
      <w:r>
        <w:rPr>
          <w:color w:val="222222"/>
          <w:sz w:val="24"/>
          <w:szCs w:val="24"/>
        </w:rPr>
        <w:t>: possibilité de ne pas participer ou de mettre fin à la participation sans donner de raison et sans conséquence pour le participant</w:t>
      </w:r>
    </w:p>
    <w:p w14:paraId="61141659" w14:textId="77777777" w:rsidR="00940B9E" w:rsidRDefault="00940B9E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</w:p>
    <w:p w14:paraId="5AAA2E9F" w14:textId="77777777" w:rsidR="00940B9E" w:rsidRDefault="00000000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9- rappeler les droits des personnes sur leurs informations (leurs données) et préciser que la recherche se </w:t>
      </w:r>
      <w:r>
        <w:rPr>
          <w:b/>
          <w:color w:val="222222"/>
          <w:sz w:val="24"/>
          <w:szCs w:val="24"/>
        </w:rPr>
        <w:t xml:space="preserve">conforme </w:t>
      </w:r>
      <w:r>
        <w:rPr>
          <w:color w:val="222222"/>
          <w:sz w:val="24"/>
          <w:szCs w:val="24"/>
        </w:rPr>
        <w:t>aux normes et pratiques éthiques ainsi qu’à la législation en vigueur sur la protection des données (Loi Informatique et Libertés et RGPD)</w:t>
      </w:r>
    </w:p>
    <w:p w14:paraId="4DCB5EE1" w14:textId="77777777" w:rsidR="00940B9E" w:rsidRDefault="00940B9E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</w:p>
    <w:p w14:paraId="0E03C4C5" w14:textId="77777777" w:rsidR="00940B9E" w:rsidRDefault="00000000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10- en cas de réclamation, désaccord, recours (en plus des adresses du chercheur, porteur de projet ou superviseur), deux adresses mail vers des autorités indépendantes doivent être communiquées :</w:t>
      </w:r>
    </w:p>
    <w:p w14:paraId="41A063AD" w14:textId="77777777" w:rsidR="00940B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Déléguée à la protection des données (DPO) </w:t>
      </w:r>
      <w:hyperlink r:id="rId8">
        <w:r w:rsidR="00940B9E">
          <w:rPr>
            <w:color w:val="0000FF"/>
            <w:sz w:val="24"/>
            <w:szCs w:val="24"/>
            <w:u w:val="single"/>
          </w:rPr>
          <w:t>dpo@sciencespo.fr</w:t>
        </w:r>
      </w:hyperlink>
      <w:r>
        <w:rPr>
          <w:color w:val="222222"/>
          <w:sz w:val="24"/>
          <w:szCs w:val="24"/>
        </w:rPr>
        <w:t xml:space="preserve"> </w:t>
      </w:r>
    </w:p>
    <w:p w14:paraId="411CC0D5" w14:textId="77777777" w:rsidR="00940B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Référent Intégrité Scientifique (RIS) </w:t>
      </w:r>
      <w:hyperlink r:id="rId9">
        <w:r w:rsidR="00940B9E">
          <w:rPr>
            <w:color w:val="0000FF"/>
            <w:sz w:val="24"/>
            <w:szCs w:val="24"/>
            <w:u w:val="single"/>
          </w:rPr>
          <w:t>integrite.scientifique@sciencespo.fr</w:t>
        </w:r>
      </w:hyperlink>
    </w:p>
    <w:sectPr w:rsidR="00940B9E">
      <w:headerReference w:type="default" r:id="rId10"/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5CE0F" w14:textId="77777777" w:rsidR="00396EBB" w:rsidRDefault="00396EBB">
      <w:pPr>
        <w:spacing w:after="0" w:line="240" w:lineRule="auto"/>
      </w:pPr>
      <w:r>
        <w:separator/>
      </w:r>
    </w:p>
  </w:endnote>
  <w:endnote w:type="continuationSeparator" w:id="0">
    <w:p w14:paraId="25447F8D" w14:textId="77777777" w:rsidR="00396EBB" w:rsidRDefault="0039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49D9B45-CA22-401B-B842-12702854A5A2}"/>
    <w:embedBold r:id="rId2" w:fontKey="{3844CE53-15C2-47A8-97D9-BCB438E0A4BA}"/>
    <w:embedItalic r:id="rId3" w:fontKey="{92700211-D2A2-46D4-A52E-E066FF0660B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embedRegular r:id="rId4" w:fontKey="{55AE043D-C93D-46EC-98F1-3972374D4FA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8FE0B74A-39AB-4922-BAAC-660DEC0EDF7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3106" w14:textId="77777777" w:rsidR="00396EBB" w:rsidRDefault="00396EBB">
      <w:pPr>
        <w:spacing w:after="0" w:line="240" w:lineRule="auto"/>
      </w:pPr>
      <w:r>
        <w:separator/>
      </w:r>
    </w:p>
  </w:footnote>
  <w:footnote w:type="continuationSeparator" w:id="0">
    <w:p w14:paraId="22FC301C" w14:textId="77777777" w:rsidR="00396EBB" w:rsidRDefault="0039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C248" w14:textId="77777777" w:rsidR="00940B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170A8C6" wp14:editId="3A07ACB7">
          <wp:extent cx="1664335" cy="250190"/>
          <wp:effectExtent l="0" t="0" r="0" b="0"/>
          <wp:docPr id="19292191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4335" cy="250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B52"/>
    <w:multiLevelType w:val="multilevel"/>
    <w:tmpl w:val="A1582F18"/>
    <w:lvl w:ilvl="0">
      <w:start w:val="10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41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9E"/>
    <w:rsid w:val="000D48CB"/>
    <w:rsid w:val="00396EBB"/>
    <w:rsid w:val="0041212E"/>
    <w:rsid w:val="00602E81"/>
    <w:rsid w:val="006534D0"/>
    <w:rsid w:val="00692B56"/>
    <w:rsid w:val="007516E6"/>
    <w:rsid w:val="00847CCB"/>
    <w:rsid w:val="00940B9E"/>
    <w:rsid w:val="00F43390"/>
    <w:rsid w:val="00FA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2266"/>
  <w15:docId w15:val="{BFAC632D-CADB-4B62-B6BC-F57E6E0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fr-FR" w:eastAsia="fr-F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basedOn w:val="Policepardfaut"/>
    <w:rPr>
      <w:rFonts w:eastAsia="Times New Roman" w:cs="Times New Roman"/>
      <w:color w:val="0F4761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character" w:customStyle="1" w:styleId="TitreCar">
    <w:name w:val="Titre Car"/>
    <w:basedOn w:val="Policepardfau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3171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35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5B9D"/>
  </w:style>
  <w:style w:type="paragraph" w:styleId="Pieddepage">
    <w:name w:val="footer"/>
    <w:basedOn w:val="Normal"/>
    <w:link w:val="PieddepageCar"/>
    <w:uiPriority w:val="99"/>
    <w:unhideWhenUsed/>
    <w:rsid w:val="00A35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sciencesp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egrite.scientifique@sciencespo.fr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W3rHLLag98MkdpRAEhHJTXrMg==">CgMxLjA4AHIhMXRQYXFmcDFrMWhDVjJuZDNBYVFpTWhPZTh2T0VzTHJL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Marinela POPA-BABAY</dc:creator>
  <cp:lastModifiedBy>Marie SCOT</cp:lastModifiedBy>
  <cp:revision>5</cp:revision>
  <cp:lastPrinted>2025-08-28T08:23:00Z</cp:lastPrinted>
  <dcterms:created xsi:type="dcterms:W3CDTF">2024-07-22T13:26:00Z</dcterms:created>
  <dcterms:modified xsi:type="dcterms:W3CDTF">2026-01-19T14:50:00Z</dcterms:modified>
</cp:coreProperties>
</file>